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824E1" w14:textId="4A7794D9"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Pr="00614DD8">
        <w:rPr>
          <w:rFonts w:ascii="Arial" w:eastAsia="SimSun" w:hAnsi="Arial" w:cs="Times New Roman"/>
          <w:b/>
          <w:bCs/>
          <w:sz w:val="24"/>
          <w:szCs w:val="20"/>
          <w:lang w:val="en-US"/>
        </w:rPr>
        <w:tab/>
      </w:r>
      <w:r w:rsidR="00BA71B3" w:rsidRPr="00BA71B3">
        <w:rPr>
          <w:rFonts w:ascii="Arial" w:eastAsia="SimSun" w:hAnsi="Arial" w:cs="Times New Roman"/>
          <w:b/>
          <w:bCs/>
          <w:sz w:val="24"/>
          <w:szCs w:val="20"/>
          <w:lang w:val="en-US" w:eastAsia="zh-CN"/>
        </w:rPr>
        <w:t>R4-241165</w:t>
      </w:r>
      <w:r w:rsidR="00BA71B3">
        <w:rPr>
          <w:rFonts w:ascii="Arial" w:eastAsia="SimSun" w:hAnsi="Arial" w:cs="Times New Roman"/>
          <w:b/>
          <w:bCs/>
          <w:sz w:val="24"/>
          <w:szCs w:val="20"/>
          <w:lang w:val="en-US" w:eastAsia="zh-CN"/>
        </w:rPr>
        <w:t>7</w:t>
      </w:r>
    </w:p>
    <w:p w14:paraId="3CBBCC8A" w14:textId="77777777" w:rsidR="00841BCD" w:rsidRPr="00614DD8"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7C4E89A6"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proofErr w:type="spellStart"/>
      <w:r w:rsidR="00D9052A">
        <w:rPr>
          <w:rFonts w:ascii="Arial" w:eastAsia="Calibri" w:hAnsi="Arial" w:cs="Arial"/>
          <w:b/>
          <w:bCs/>
          <w:sz w:val="24"/>
          <w:lang w:val="en-US"/>
        </w:rPr>
        <w:t>RedCap</w:t>
      </w:r>
      <w:proofErr w:type="spellEnd"/>
      <w:r w:rsidR="00D9052A">
        <w:rPr>
          <w:rFonts w:ascii="Arial" w:eastAsia="Calibri" w:hAnsi="Arial" w:cs="Arial"/>
          <w:b/>
          <w:bCs/>
          <w:sz w:val="24"/>
          <w:lang w:val="en-US"/>
        </w:rPr>
        <w:t xml:space="preserve"> NTN UEs</w:t>
      </w:r>
    </w:p>
    <w:p w14:paraId="0BA6D0AF" w14:textId="62A607B1"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4E1240">
        <w:rPr>
          <w:rFonts w:ascii="Arial" w:eastAsia="MS Mincho" w:hAnsi="Arial" w:cs="Arial"/>
          <w:b/>
          <w:bCs/>
          <w:sz w:val="24"/>
          <w:szCs w:val="20"/>
          <w:lang w:val="en-US"/>
        </w:rPr>
        <w:t>8.25.2.1</w:t>
      </w:r>
    </w:p>
    <w:p w14:paraId="19A08D9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8A26399" w14:textId="77777777" w:rsidR="00D9052A" w:rsidRPr="00614DD8" w:rsidRDefault="00D9052A" w:rsidP="00D9052A">
      <w:pPr>
        <w:rPr>
          <w:lang w:val="en-US"/>
        </w:rPr>
      </w:pPr>
      <w:r>
        <w:rPr>
          <w:lang w:val="en-US"/>
        </w:rPr>
        <w:t>In this paper, we provide our views on the s</w:t>
      </w:r>
      <w:r w:rsidRPr="00E721CF">
        <w:rPr>
          <w:lang w:val="en-US"/>
        </w:rPr>
        <w:t>uppor</w:t>
      </w:r>
      <w:r>
        <w:rPr>
          <w:lang w:val="en-US"/>
        </w:rPr>
        <w:t>t</w:t>
      </w:r>
      <w:r w:rsidRPr="00E721CF">
        <w:rPr>
          <w:rFonts w:eastAsia="Malgun Gothic"/>
          <w:lang w:val="en-US" w:eastAsia="ko-KR"/>
        </w:rPr>
        <w:t xml:space="preserve"> </w:t>
      </w:r>
      <w:r w:rsidRPr="009431DD">
        <w:rPr>
          <w:rFonts w:eastAsia="Malgun Gothic"/>
          <w:lang w:val="en-US" w:eastAsia="ko-KR"/>
        </w:rPr>
        <w:t xml:space="preserve">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r>
        <w:rPr>
          <w:rFonts w:eastAsia="Malgun Gothic"/>
          <w:lang w:val="en-US" w:eastAsia="ko-KR"/>
        </w:rPr>
        <w:t xml:space="preserve">. </w:t>
      </w:r>
      <w:proofErr w:type="spellStart"/>
      <w:r>
        <w:rPr>
          <w:rFonts w:eastAsia="Malgun Gothic"/>
          <w:lang w:val="en-US" w:eastAsia="ko-KR"/>
        </w:rPr>
        <w:t>RedCap</w:t>
      </w:r>
      <w:proofErr w:type="spellEnd"/>
      <w:r>
        <w:rPr>
          <w:rFonts w:eastAsia="Malgun Gothic"/>
          <w:lang w:val="en-US" w:eastAsia="ko-KR"/>
        </w:rPr>
        <w:t xml:space="preserve"> specific ob</w:t>
      </w:r>
      <w:r>
        <w:rPr>
          <w:lang w:val="en-US"/>
        </w:rPr>
        <w:t>jectives mentioned in the WID are copied below for ease of reading.</w:t>
      </w:r>
    </w:p>
    <w:p w14:paraId="08D3D308" w14:textId="77777777" w:rsidR="00D9052A" w:rsidRPr="00614DD8" w:rsidRDefault="00D9052A" w:rsidP="00D9052A">
      <w:pPr>
        <w:rPr>
          <w:lang w:val="en-US"/>
        </w:rPr>
      </w:pPr>
      <w:r>
        <w:rPr>
          <w:lang w:val="en-US"/>
        </w:rPr>
        <w:t>Objectives</w:t>
      </w:r>
      <w:r w:rsidRPr="00614DD8">
        <w:rPr>
          <w:lang w:val="en-US"/>
        </w:rPr>
        <w:t>:</w:t>
      </w:r>
    </w:p>
    <w:tbl>
      <w:tblPr>
        <w:tblStyle w:val="TableGrid"/>
        <w:tblW w:w="0" w:type="auto"/>
        <w:tblLook w:val="04A0" w:firstRow="1" w:lastRow="0" w:firstColumn="1" w:lastColumn="0" w:noHBand="0" w:noVBand="1"/>
      </w:tblPr>
      <w:tblGrid>
        <w:gridCol w:w="9617"/>
      </w:tblGrid>
      <w:tr w:rsidR="00D9052A" w:rsidRPr="00614DD8" w14:paraId="2D56DA99" w14:textId="77777777">
        <w:tc>
          <w:tcPr>
            <w:tcW w:w="9617" w:type="dxa"/>
          </w:tcPr>
          <w:p w14:paraId="3BE84B58" w14:textId="77777777" w:rsidR="00D9052A" w:rsidRPr="009431DD" w:rsidRDefault="00D9052A" w:rsidP="00D9052A">
            <w:pPr>
              <w:numPr>
                <w:ilvl w:val="0"/>
                <w:numId w:val="28"/>
              </w:numPr>
              <w:overflowPunct w:val="0"/>
              <w:autoSpaceDE w:val="0"/>
              <w:autoSpaceDN w:val="0"/>
              <w:adjustRightInd w:val="0"/>
              <w:spacing w:line="276" w:lineRule="auto"/>
              <w:textAlignment w:val="baseline"/>
              <w:rPr>
                <w:rFonts w:eastAsia="Malgun Gothic"/>
                <w:lang w:val="en-US" w:eastAsia="ko-KR"/>
              </w:rPr>
            </w:pPr>
            <w:bookmarkStart w:id="4" w:name="_Hlk166226955"/>
            <w:r w:rsidRPr="009431DD">
              <w:rPr>
                <w:rFonts w:eastAsia="Malgun Gothic"/>
                <w:lang w:val="en-US" w:eastAsia="ko-KR"/>
              </w:rPr>
              <w:t xml:space="preserve">Support 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 [RAN4, RAN1]</w:t>
            </w:r>
          </w:p>
          <w:p w14:paraId="599F4F40" w14:textId="77777777" w:rsidR="00D9052A" w:rsidRPr="009431DD" w:rsidRDefault="00D9052A" w:rsidP="00D9052A">
            <w:pPr>
              <w:pStyle w:val="ListParagraph"/>
              <w:widowControl w:val="0"/>
              <w:numPr>
                <w:ilvl w:val="0"/>
                <w:numId w:val="29"/>
              </w:numPr>
              <w:spacing w:line="276" w:lineRule="auto"/>
              <w:jc w:val="both"/>
              <w:rPr>
                <w:szCs w:val="20"/>
              </w:rPr>
            </w:pPr>
            <w:r w:rsidRPr="009431DD">
              <w:rPr>
                <w:szCs w:val="20"/>
              </w:rPr>
              <w:t xml:space="preserve">For full-duplex FDD </w:t>
            </w:r>
            <w:proofErr w:type="spellStart"/>
            <w:r w:rsidRPr="009431DD">
              <w:rPr>
                <w:szCs w:val="20"/>
              </w:rPr>
              <w:t>RedCap</w:t>
            </w:r>
            <w:proofErr w:type="spellEnd"/>
            <w:r w:rsidRPr="009431DD">
              <w:rPr>
                <w:szCs w:val="20"/>
              </w:rPr>
              <w:t xml:space="preserve"> and </w:t>
            </w:r>
            <w:proofErr w:type="spellStart"/>
            <w:r w:rsidRPr="009431DD">
              <w:rPr>
                <w:szCs w:val="20"/>
              </w:rPr>
              <w:t>eRedCap</w:t>
            </w:r>
            <w:proofErr w:type="spellEnd"/>
            <w:r w:rsidRPr="009431DD">
              <w:rPr>
                <w:szCs w:val="20"/>
              </w:rPr>
              <w:t xml:space="preserve"> UEs, define the RF and RRM requirements [RAN4]</w:t>
            </w:r>
          </w:p>
          <w:p w14:paraId="4FB033C0" w14:textId="77777777" w:rsidR="00D9052A" w:rsidRPr="009431DD" w:rsidRDefault="00D9052A" w:rsidP="00D9052A">
            <w:pPr>
              <w:pStyle w:val="ListParagraph"/>
              <w:widowControl w:val="0"/>
              <w:numPr>
                <w:ilvl w:val="0"/>
                <w:numId w:val="29"/>
              </w:numPr>
              <w:spacing w:line="276" w:lineRule="auto"/>
              <w:jc w:val="both"/>
              <w:rPr>
                <w:szCs w:val="20"/>
              </w:rPr>
            </w:pPr>
            <w:r w:rsidRPr="009431DD">
              <w:rPr>
                <w:szCs w:val="20"/>
              </w:rPr>
              <w:t xml:space="preserve">For HD-FDD </w:t>
            </w:r>
            <w:proofErr w:type="spellStart"/>
            <w:r w:rsidRPr="009431DD">
              <w:rPr>
                <w:szCs w:val="20"/>
              </w:rPr>
              <w:t>RedCap</w:t>
            </w:r>
            <w:proofErr w:type="spellEnd"/>
            <w:r w:rsidRPr="009431DD">
              <w:rPr>
                <w:szCs w:val="20"/>
              </w:rPr>
              <w:t xml:space="preserve"> UEs and </w:t>
            </w:r>
            <w:proofErr w:type="spellStart"/>
            <w:r w:rsidRPr="009431DD">
              <w:rPr>
                <w:szCs w:val="20"/>
              </w:rPr>
              <w:t>eRedCap</w:t>
            </w:r>
            <w:proofErr w:type="spellEnd"/>
            <w:r w:rsidRPr="009431DD">
              <w:rPr>
                <w:szCs w:val="20"/>
              </w:rPr>
              <w:t xml:space="preserve"> UEs, check whether any essential changes are needed for their support (i.e. focusing on HD collision rules) by end of Q2/2024 [RAN1]</w:t>
            </w:r>
          </w:p>
          <w:p w14:paraId="35BE1D00" w14:textId="77777777" w:rsidR="00D9052A" w:rsidRPr="009431DD" w:rsidRDefault="00D9052A" w:rsidP="00D9052A">
            <w:pPr>
              <w:pStyle w:val="ListParagraph"/>
              <w:widowControl w:val="0"/>
              <w:numPr>
                <w:ilvl w:val="1"/>
                <w:numId w:val="29"/>
              </w:numPr>
              <w:spacing w:line="276" w:lineRule="auto"/>
              <w:jc w:val="both"/>
              <w:rPr>
                <w:szCs w:val="20"/>
              </w:rPr>
            </w:pPr>
            <w:r w:rsidRPr="009431DD">
              <w:rPr>
                <w:szCs w:val="20"/>
              </w:rPr>
              <w:t>Depending on feasibility assessment above, define the RF and RRM requirements [RAN4]</w:t>
            </w:r>
          </w:p>
          <w:p w14:paraId="596B5114" w14:textId="77777777" w:rsidR="00D9052A" w:rsidRPr="009431DD" w:rsidRDefault="00D9052A" w:rsidP="00D9052A">
            <w:pPr>
              <w:pStyle w:val="ListParagraph"/>
              <w:widowControl w:val="0"/>
              <w:numPr>
                <w:ilvl w:val="0"/>
                <w:numId w:val="29"/>
              </w:numPr>
              <w:spacing w:line="276" w:lineRule="auto"/>
              <w:jc w:val="both"/>
              <w:rPr>
                <w:szCs w:val="20"/>
              </w:rPr>
            </w:pPr>
            <w:r w:rsidRPr="009431DD">
              <w:rPr>
                <w:szCs w:val="20"/>
              </w:rPr>
              <w:t>Notes for this objective:</w:t>
            </w:r>
          </w:p>
          <w:p w14:paraId="0512626E" w14:textId="77777777" w:rsidR="00D9052A" w:rsidRPr="00270E4D" w:rsidRDefault="00D9052A">
            <w:pPr>
              <w:rPr>
                <w:szCs w:val="20"/>
              </w:rPr>
            </w:pPr>
            <w:r w:rsidRPr="009431DD">
              <w:rPr>
                <w:szCs w:val="20"/>
              </w:rPr>
              <w:t xml:space="preserve">GNSS (Global Navigation Satellite Systems) capabilities and simultaneous GNSS and NR-NTN operation is supported in </w:t>
            </w:r>
            <w:proofErr w:type="spellStart"/>
            <w:r w:rsidRPr="009431DD">
              <w:rPr>
                <w:szCs w:val="20"/>
              </w:rPr>
              <w:t>RedCap</w:t>
            </w:r>
            <w:proofErr w:type="spellEnd"/>
            <w:r w:rsidRPr="009431DD">
              <w:rPr>
                <w:szCs w:val="20"/>
              </w:rPr>
              <w:t>/</w:t>
            </w:r>
            <w:proofErr w:type="spellStart"/>
            <w:r w:rsidRPr="009431DD">
              <w:rPr>
                <w:szCs w:val="20"/>
              </w:rPr>
              <w:t>eRedCap</w:t>
            </w:r>
            <w:proofErr w:type="spellEnd"/>
            <w:r w:rsidRPr="009431DD">
              <w:rPr>
                <w:szCs w:val="20"/>
              </w:rPr>
              <w:t xml:space="preserve"> UE.</w:t>
            </w:r>
          </w:p>
        </w:tc>
      </w:tr>
      <w:bookmarkEnd w:id="4"/>
    </w:tbl>
    <w:p w14:paraId="632E5746" w14:textId="77777777" w:rsidR="00D9052A" w:rsidRDefault="00D9052A" w:rsidP="00D9052A">
      <w:pPr>
        <w:rPr>
          <w:lang w:val="en-US"/>
        </w:rPr>
      </w:pPr>
    </w:p>
    <w:p w14:paraId="213D1EC7" w14:textId="2126511E" w:rsidR="00D9052A" w:rsidRDefault="00D9052A" w:rsidP="00D9052A">
      <w:pPr>
        <w:rPr>
          <w:lang w:val="en-US"/>
        </w:rPr>
      </w:pPr>
      <w:r>
        <w:rPr>
          <w:lang w:val="en-US"/>
        </w:rPr>
        <w:t xml:space="preserve">The following agreements were made in the last RAN4#111 meeting </w:t>
      </w:r>
      <w:r>
        <w:rPr>
          <w:lang w:val="en-US"/>
        </w:rPr>
        <w:fldChar w:fldCharType="begin"/>
      </w:r>
      <w:r>
        <w:rPr>
          <w:lang w:val="en-US"/>
        </w:rPr>
        <w:instrText xml:space="preserve"> REF _Ref166227081 \r \h </w:instrText>
      </w:r>
      <w:r>
        <w:rPr>
          <w:lang w:val="en-US"/>
        </w:rPr>
      </w:r>
      <w:r>
        <w:rPr>
          <w:lang w:val="en-US"/>
        </w:rPr>
        <w:fldChar w:fldCharType="separate"/>
      </w:r>
      <w:r>
        <w:rPr>
          <w:lang w:val="en-US"/>
        </w:rPr>
        <w:t>[2]</w:t>
      </w:r>
      <w:r>
        <w:rPr>
          <w:lang w:val="en-US"/>
        </w:rPr>
        <w:fldChar w:fldCharType="end"/>
      </w:r>
    </w:p>
    <w:tbl>
      <w:tblPr>
        <w:tblStyle w:val="TableGrid"/>
        <w:tblW w:w="0" w:type="auto"/>
        <w:tblLook w:val="04A0" w:firstRow="1" w:lastRow="0" w:firstColumn="1" w:lastColumn="0" w:noHBand="0" w:noVBand="1"/>
      </w:tblPr>
      <w:tblGrid>
        <w:gridCol w:w="9617"/>
      </w:tblGrid>
      <w:tr w:rsidR="001B1EA8" w:rsidRPr="00614DD8" w14:paraId="62B9BA7A" w14:textId="77777777" w:rsidTr="001B1EA8">
        <w:tc>
          <w:tcPr>
            <w:tcW w:w="9617" w:type="dxa"/>
          </w:tcPr>
          <w:p w14:paraId="2E3520A0" w14:textId="77777777" w:rsidR="00D9052A" w:rsidRPr="00EF3FF4" w:rsidRDefault="00D9052A" w:rsidP="00D9052A">
            <w:pPr>
              <w:pStyle w:val="Heading2"/>
              <w:rPr>
                <w:lang w:eastAsia="zh-CN"/>
              </w:rPr>
            </w:pPr>
            <w:r>
              <w:lastRenderedPageBreak/>
              <w:t xml:space="preserve">Issue 1-1 UL RB allocation for HD-FDD </w:t>
            </w:r>
            <w:proofErr w:type="spellStart"/>
            <w:r>
              <w:t>Refsens</w:t>
            </w:r>
            <w:proofErr w:type="spellEnd"/>
            <w:r>
              <w:t>, both for 1Rx and 2Rx</w:t>
            </w:r>
          </w:p>
          <w:p w14:paraId="473154B8" w14:textId="77777777" w:rsidR="00D9052A" w:rsidRDefault="00D9052A" w:rsidP="00D9052A">
            <w:pPr>
              <w:rPr>
                <w:szCs w:val="24"/>
                <w:lang w:eastAsia="zh-CN"/>
              </w:rPr>
            </w:pPr>
            <w:r>
              <w:rPr>
                <w:b/>
                <w:lang w:eastAsia="zh-CN"/>
              </w:rPr>
              <w:t>Agreement</w:t>
            </w:r>
            <w:r>
              <w:rPr>
                <w:lang w:eastAsia="zh-CN"/>
              </w:rPr>
              <w:t xml:space="preserve">: </w:t>
            </w:r>
            <w:r>
              <w:rPr>
                <w:szCs w:val="24"/>
                <w:lang w:eastAsia="zh-CN"/>
              </w:rPr>
              <w:t>Full RB allocation.</w:t>
            </w:r>
          </w:p>
          <w:p w14:paraId="4A8BF255" w14:textId="77777777" w:rsidR="00D9052A" w:rsidRDefault="00D9052A" w:rsidP="00D9052A"/>
          <w:p w14:paraId="75DC7866" w14:textId="77777777" w:rsidR="00D9052A" w:rsidRPr="00EF3FF4" w:rsidRDefault="00D9052A" w:rsidP="00D9052A">
            <w:pPr>
              <w:pStyle w:val="Heading2"/>
              <w:rPr>
                <w:lang w:eastAsia="zh-CN"/>
              </w:rPr>
            </w:pPr>
            <w:r>
              <w:t xml:space="preserve">Issue 1-2: HD-FDD </w:t>
            </w:r>
            <w:proofErr w:type="spellStart"/>
            <w:r>
              <w:t>refsens</w:t>
            </w:r>
            <w:proofErr w:type="spellEnd"/>
            <w:r>
              <w:t xml:space="preserve"> for 2 Rx</w:t>
            </w:r>
          </w:p>
          <w:p w14:paraId="2603D2DF" w14:textId="77777777" w:rsidR="00D9052A" w:rsidRDefault="00D9052A" w:rsidP="00D9052A">
            <w:pPr>
              <w:rPr>
                <w:rFonts w:eastAsiaTheme="minorEastAsia"/>
                <w:bCs/>
                <w:lang w:eastAsia="zh-CN"/>
              </w:rPr>
            </w:pPr>
            <w:r>
              <w:rPr>
                <w:b/>
                <w:lang w:eastAsia="zh-CN"/>
              </w:rPr>
              <w:t>Agreement</w:t>
            </w:r>
            <w:r>
              <w:rPr>
                <w:lang w:eastAsia="zh-CN"/>
              </w:rPr>
              <w:t>: [</w:t>
            </w:r>
            <w:r>
              <w:rPr>
                <w:rFonts w:eastAsiaTheme="minorEastAsia"/>
                <w:bCs/>
                <w:lang w:eastAsia="zh-CN"/>
              </w:rPr>
              <w:t xml:space="preserve">0.5] dB tightening for n254 and n256, FFS for n255. n256 to be confirmed in RAN4#112. </w:t>
            </w:r>
          </w:p>
          <w:p w14:paraId="7BBD8B8D" w14:textId="77777777" w:rsidR="00D9052A" w:rsidRDefault="00D9052A" w:rsidP="00D9052A">
            <w:pPr>
              <w:ind w:firstLine="420"/>
              <w:rPr>
                <w:rFonts w:eastAsiaTheme="minorEastAsia"/>
                <w:bCs/>
                <w:lang w:eastAsia="zh-CN"/>
              </w:rPr>
            </w:pPr>
            <w:r>
              <w:rPr>
                <w:rFonts w:eastAsiaTheme="minorEastAsia"/>
                <w:bCs/>
                <w:lang w:eastAsia="zh-CN"/>
              </w:rPr>
              <w:t xml:space="preserve">Note: RAN4#111 maintenance agreement on n256 </w:t>
            </w:r>
            <w:proofErr w:type="spellStart"/>
            <w:r>
              <w:rPr>
                <w:rFonts w:eastAsiaTheme="minorEastAsia"/>
                <w:bCs/>
                <w:lang w:eastAsia="zh-CN"/>
              </w:rPr>
              <w:t>refsens</w:t>
            </w:r>
            <w:proofErr w:type="spellEnd"/>
            <w:r>
              <w:rPr>
                <w:rFonts w:eastAsiaTheme="minorEastAsia"/>
                <w:bCs/>
                <w:lang w:eastAsia="zh-CN"/>
              </w:rPr>
              <w:t xml:space="preserve"> in R4-2408787 was not considered for this agreement.</w:t>
            </w:r>
          </w:p>
          <w:p w14:paraId="319F988F" w14:textId="77777777" w:rsidR="00D9052A" w:rsidRDefault="00D9052A" w:rsidP="00D9052A"/>
          <w:p w14:paraId="52AC74FF" w14:textId="77777777" w:rsidR="00D9052A" w:rsidRPr="00EF3FF4" w:rsidRDefault="00D9052A" w:rsidP="00D9052A">
            <w:pPr>
              <w:pStyle w:val="Heading2"/>
              <w:rPr>
                <w:lang w:eastAsia="zh-CN"/>
              </w:rPr>
            </w:pPr>
            <w:r>
              <w:t xml:space="preserve">Issue 1-3: HD-FDD </w:t>
            </w:r>
            <w:proofErr w:type="spellStart"/>
            <w:r>
              <w:t>refsens</w:t>
            </w:r>
            <w:proofErr w:type="spellEnd"/>
            <w:r>
              <w:t xml:space="preserve"> for 1 Rx</w:t>
            </w:r>
          </w:p>
          <w:p w14:paraId="3D114CAE" w14:textId="77777777" w:rsidR="00D9052A" w:rsidRDefault="00D9052A" w:rsidP="00D9052A">
            <w:pPr>
              <w:rPr>
                <w:szCs w:val="24"/>
                <w:lang w:eastAsia="zh-CN"/>
              </w:rPr>
            </w:pPr>
            <w:r w:rsidRPr="00942235">
              <w:rPr>
                <w:b/>
                <w:lang w:eastAsia="zh-CN"/>
              </w:rPr>
              <w:t>Agreement</w:t>
            </w:r>
            <w:r>
              <w:rPr>
                <w:b/>
                <w:lang w:eastAsia="zh-CN"/>
              </w:rPr>
              <w:t xml:space="preserve">: </w:t>
            </w:r>
            <w:r w:rsidRPr="00D74026">
              <w:rPr>
                <w:lang w:eastAsia="zh-CN"/>
              </w:rPr>
              <w:t>2.5 dB relaxation compared to 2Rx HD-FDD</w:t>
            </w:r>
          </w:p>
          <w:p w14:paraId="5BB77438" w14:textId="77777777" w:rsidR="00D9052A" w:rsidRDefault="00D9052A" w:rsidP="00D9052A"/>
          <w:p w14:paraId="27F26D59" w14:textId="77777777" w:rsidR="00D9052A" w:rsidRPr="00EF3FF4" w:rsidRDefault="00D9052A" w:rsidP="00D9052A">
            <w:pPr>
              <w:pStyle w:val="Heading2"/>
              <w:rPr>
                <w:lang w:eastAsia="zh-CN"/>
              </w:rPr>
            </w:pPr>
            <w:r>
              <w:t>Issue 1-4: Frequency error</w:t>
            </w:r>
          </w:p>
          <w:p w14:paraId="1A59C37B" w14:textId="77777777" w:rsidR="00D9052A" w:rsidRPr="00AF3E64" w:rsidRDefault="00D9052A" w:rsidP="00D9052A">
            <w:pPr>
              <w:rPr>
                <w:b/>
                <w:lang w:eastAsia="zh-CN"/>
              </w:rPr>
            </w:pPr>
            <w:r>
              <w:rPr>
                <w:b/>
                <w:lang w:eastAsia="zh-CN"/>
              </w:rPr>
              <w:t xml:space="preserve">Agreement: </w:t>
            </w:r>
            <w:r w:rsidRPr="00886E5A">
              <w:rPr>
                <w:bCs/>
                <w:lang w:eastAsia="zh-CN"/>
              </w:rPr>
              <w:t xml:space="preserve">Discuss changes common to non-Redcap NTN and </w:t>
            </w:r>
            <w:r>
              <w:rPr>
                <w:bCs/>
                <w:lang w:eastAsia="zh-CN"/>
              </w:rPr>
              <w:t>(e)</w:t>
            </w:r>
            <w:proofErr w:type="spellStart"/>
            <w:r w:rsidRPr="00886E5A">
              <w:rPr>
                <w:bCs/>
                <w:lang w:eastAsia="zh-CN"/>
              </w:rPr>
              <w:t>RedCap</w:t>
            </w:r>
            <w:proofErr w:type="spellEnd"/>
            <w:r w:rsidRPr="00886E5A">
              <w:rPr>
                <w:bCs/>
                <w:lang w:eastAsia="zh-CN"/>
              </w:rPr>
              <w:t xml:space="preserve"> NTN NR UE frequency error in maintenance agenda</w:t>
            </w:r>
            <w:r>
              <w:rPr>
                <w:bCs/>
                <w:lang w:eastAsia="zh-CN"/>
              </w:rPr>
              <w:t>.</w:t>
            </w:r>
            <w:r>
              <w:rPr>
                <w:b/>
                <w:lang w:eastAsia="zh-CN"/>
              </w:rPr>
              <w:t xml:space="preserve"> </w:t>
            </w:r>
            <w:r w:rsidRPr="00AF3E64">
              <w:rPr>
                <w:bCs/>
                <w:lang w:eastAsia="zh-CN"/>
              </w:rPr>
              <w:t>(e)</w:t>
            </w:r>
            <w:proofErr w:type="spellStart"/>
            <w:r>
              <w:rPr>
                <w:bCs/>
                <w:lang w:eastAsia="zh-CN"/>
              </w:rPr>
              <w:t>RedCap</w:t>
            </w:r>
            <w:proofErr w:type="spellEnd"/>
            <w:r>
              <w:rPr>
                <w:bCs/>
                <w:lang w:eastAsia="zh-CN"/>
              </w:rPr>
              <w:t xml:space="preserve"> UE frequency error requirement may be impacted by this maintenance discussion.</w:t>
            </w:r>
          </w:p>
          <w:p w14:paraId="00ACF87D" w14:textId="77777777" w:rsidR="00D9052A" w:rsidRPr="00F16E3D" w:rsidRDefault="00D9052A" w:rsidP="00D9052A">
            <w:pPr>
              <w:rPr>
                <w:b/>
                <w:bCs/>
                <w:szCs w:val="24"/>
                <w:lang w:val="sv-SE" w:eastAsia="zh-CN"/>
              </w:rPr>
            </w:pPr>
            <w:r w:rsidRPr="00F16E3D">
              <w:rPr>
                <w:b/>
                <w:bCs/>
                <w:szCs w:val="24"/>
                <w:lang w:val="sv-SE" w:eastAsia="zh-CN"/>
              </w:rPr>
              <w:t xml:space="preserve">Option for </w:t>
            </w:r>
            <w:proofErr w:type="spellStart"/>
            <w:r w:rsidRPr="00F16E3D">
              <w:rPr>
                <w:b/>
                <w:bCs/>
                <w:szCs w:val="24"/>
                <w:lang w:val="sv-SE" w:eastAsia="zh-CN"/>
              </w:rPr>
              <w:t>further</w:t>
            </w:r>
            <w:proofErr w:type="spellEnd"/>
            <w:r w:rsidRPr="00F16E3D">
              <w:rPr>
                <w:b/>
                <w:bCs/>
                <w:szCs w:val="24"/>
                <w:lang w:val="sv-SE" w:eastAsia="zh-CN"/>
              </w:rPr>
              <w:t xml:space="preserve"> </w:t>
            </w:r>
            <w:proofErr w:type="spellStart"/>
            <w:r w:rsidRPr="00F16E3D">
              <w:rPr>
                <w:b/>
                <w:bCs/>
                <w:szCs w:val="24"/>
                <w:lang w:val="sv-SE" w:eastAsia="zh-CN"/>
              </w:rPr>
              <w:t>discussionn</w:t>
            </w:r>
            <w:proofErr w:type="spellEnd"/>
            <w:r w:rsidRPr="00F16E3D">
              <w:rPr>
                <w:b/>
                <w:bCs/>
                <w:szCs w:val="24"/>
                <w:lang w:val="sv-SE" w:eastAsia="zh-CN"/>
              </w:rPr>
              <w:t xml:space="preserve">, not an </w:t>
            </w:r>
            <w:proofErr w:type="spellStart"/>
            <w:r w:rsidRPr="00F16E3D">
              <w:rPr>
                <w:b/>
                <w:bCs/>
                <w:szCs w:val="24"/>
                <w:lang w:val="sv-SE" w:eastAsia="zh-CN"/>
              </w:rPr>
              <w:t>agreement</w:t>
            </w:r>
            <w:proofErr w:type="spellEnd"/>
            <w:r w:rsidRPr="00F16E3D">
              <w:rPr>
                <w:b/>
                <w:bCs/>
                <w:szCs w:val="24"/>
                <w:lang w:val="sv-SE" w:eastAsia="zh-CN"/>
              </w:rPr>
              <w:t>:</w:t>
            </w:r>
          </w:p>
          <w:p w14:paraId="06C58CBC" w14:textId="77777777" w:rsidR="00D9052A" w:rsidRPr="007F1B2E" w:rsidRDefault="00D9052A" w:rsidP="00D9052A">
            <w:pPr>
              <w:pStyle w:val="ListParagraph"/>
              <w:numPr>
                <w:ilvl w:val="0"/>
                <w:numId w:val="30"/>
              </w:numPr>
              <w:overflowPunct w:val="0"/>
              <w:autoSpaceDE w:val="0"/>
              <w:autoSpaceDN w:val="0"/>
              <w:adjustRightInd w:val="0"/>
              <w:spacing w:after="180"/>
              <w:contextualSpacing w:val="0"/>
              <w:textAlignment w:val="baseline"/>
              <w:rPr>
                <w:szCs w:val="24"/>
                <w:lang w:val="sv-SE" w:eastAsia="zh-CN"/>
              </w:rPr>
            </w:pPr>
            <w:r>
              <w:rPr>
                <w:szCs w:val="24"/>
                <w:lang w:val="sv-SE" w:eastAsia="zh-CN"/>
              </w:rPr>
              <w:t xml:space="preserve">As a </w:t>
            </w:r>
            <w:proofErr w:type="spellStart"/>
            <w:r>
              <w:rPr>
                <w:szCs w:val="24"/>
                <w:lang w:val="sv-SE" w:eastAsia="zh-CN"/>
              </w:rPr>
              <w:t>starting</w:t>
            </w:r>
            <w:proofErr w:type="spellEnd"/>
            <w:r>
              <w:rPr>
                <w:szCs w:val="24"/>
                <w:lang w:val="sv-SE" w:eastAsia="zh-CN"/>
              </w:rPr>
              <w:t xml:space="preserve"> </w:t>
            </w:r>
            <w:proofErr w:type="spellStart"/>
            <w:r>
              <w:rPr>
                <w:szCs w:val="24"/>
                <w:lang w:val="sv-SE" w:eastAsia="zh-CN"/>
              </w:rPr>
              <w:t>point</w:t>
            </w:r>
            <w:proofErr w:type="spellEnd"/>
            <w:r>
              <w:rPr>
                <w:szCs w:val="24"/>
                <w:lang w:val="sv-SE" w:eastAsia="zh-CN"/>
              </w:rPr>
              <w:t xml:space="preserve">, </w:t>
            </w:r>
            <w:proofErr w:type="spellStart"/>
            <w:r>
              <w:rPr>
                <w:szCs w:val="24"/>
                <w:lang w:val="sv-SE" w:eastAsia="zh-CN"/>
              </w:rPr>
              <w:t>consider</w:t>
            </w:r>
            <w:proofErr w:type="spellEnd"/>
            <w:r>
              <w:rPr>
                <w:szCs w:val="24"/>
                <w:lang w:val="sv-SE" w:eastAsia="zh-CN"/>
              </w:rPr>
              <w:t xml:space="preserve"> </w:t>
            </w:r>
            <w:r>
              <w:rPr>
                <w:bCs/>
                <w:lang w:eastAsia="zh-CN"/>
              </w:rPr>
              <w:t>(e)Redcap UE frequency error based on existing NR UE requirements.</w:t>
            </w:r>
          </w:p>
          <w:p w14:paraId="63B4BA0C" w14:textId="77777777" w:rsidR="00D9052A" w:rsidRPr="007F1B2E" w:rsidRDefault="00D9052A" w:rsidP="00D9052A">
            <w:pPr>
              <w:rPr>
                <w:szCs w:val="24"/>
                <w:lang w:val="sv-SE" w:eastAsia="zh-CN"/>
              </w:rPr>
            </w:pPr>
          </w:p>
          <w:p w14:paraId="27525B14" w14:textId="77777777" w:rsidR="00D9052A" w:rsidRDefault="00D9052A" w:rsidP="00D9052A">
            <w:pPr>
              <w:pStyle w:val="Heading2"/>
            </w:pPr>
            <w:r>
              <w:t>Issue 1-5: Maximum output power</w:t>
            </w:r>
          </w:p>
          <w:p w14:paraId="1D7CE20A" w14:textId="77777777" w:rsidR="00D9052A" w:rsidRPr="00C00E90" w:rsidRDefault="00D9052A" w:rsidP="00D9052A">
            <w:pPr>
              <w:rPr>
                <w:b/>
                <w:bCs/>
              </w:rPr>
            </w:pPr>
            <w:r w:rsidRPr="00C00E90">
              <w:rPr>
                <w:b/>
                <w:bCs/>
              </w:rPr>
              <w:t>options for further discussion:</w:t>
            </w:r>
          </w:p>
          <w:p w14:paraId="5AF84FF4" w14:textId="77777777" w:rsidR="00D9052A" w:rsidRDefault="00D9052A" w:rsidP="00D9052A">
            <w:r>
              <w:t xml:space="preserve">Option 1: Consider increase in PC3 power level for NTN </w:t>
            </w:r>
            <w:proofErr w:type="spellStart"/>
            <w:r>
              <w:t>RedCap</w:t>
            </w:r>
            <w:proofErr w:type="spellEnd"/>
            <w:r>
              <w:t xml:space="preserve"> UE which only supports HD-FDD operation for a band.</w:t>
            </w:r>
          </w:p>
          <w:p w14:paraId="032037EF" w14:textId="77777777" w:rsidR="00D9052A" w:rsidRPr="00E301FB" w:rsidRDefault="00D9052A" w:rsidP="00D9052A">
            <w:r>
              <w:t>Option 2: PC3 power level is the same for non-</w:t>
            </w:r>
            <w:proofErr w:type="spellStart"/>
            <w:r>
              <w:t>RedCap</w:t>
            </w:r>
            <w:proofErr w:type="spellEnd"/>
            <w:r>
              <w:t xml:space="preserve"> NR NTN UE and (e)</w:t>
            </w:r>
            <w:proofErr w:type="spellStart"/>
            <w:r>
              <w:t>RedCap</w:t>
            </w:r>
            <w:proofErr w:type="spellEnd"/>
            <w:r>
              <w:t xml:space="preserve"> NR NTN UE</w:t>
            </w:r>
          </w:p>
          <w:p w14:paraId="060E7BB5" w14:textId="77777777" w:rsidR="00D9052A" w:rsidRDefault="00D9052A" w:rsidP="00D9052A">
            <w:pPr>
              <w:rPr>
                <w:szCs w:val="24"/>
                <w:lang w:eastAsia="zh-CN"/>
              </w:rPr>
            </w:pPr>
          </w:p>
          <w:p w14:paraId="74AC84DA" w14:textId="77777777" w:rsidR="00D9052A" w:rsidRDefault="00D9052A" w:rsidP="00D9052A">
            <w:pPr>
              <w:pStyle w:val="Heading2"/>
            </w:pPr>
            <w:r>
              <w:t>Issue 1-6: Specification structure and baseline changes</w:t>
            </w:r>
          </w:p>
          <w:p w14:paraId="19719593" w14:textId="77777777" w:rsidR="00D9052A" w:rsidRDefault="00D9052A" w:rsidP="00D9052A">
            <w:r w:rsidRPr="00712A51">
              <w:rPr>
                <w:b/>
                <w:bCs/>
              </w:rPr>
              <w:t>Agreement:</w:t>
            </w:r>
            <w:r>
              <w:rPr>
                <w:b/>
                <w:bCs/>
              </w:rPr>
              <w:t xml:space="preserve"> </w:t>
            </w:r>
            <w:r>
              <w:t>Use R4-2408816 as starting point for (e)</w:t>
            </w:r>
            <w:proofErr w:type="spellStart"/>
            <w:r>
              <w:t>RedCap</w:t>
            </w:r>
            <w:proofErr w:type="spellEnd"/>
            <w:r>
              <w:t xml:space="preserve"> NR NTN UE RF requirements specification structure. Further changes on requirement values and additional impacted clauses (e.g. according to issue 1-4 and 1-5) as well as other improvements can be added. </w:t>
            </w:r>
          </w:p>
          <w:p w14:paraId="26C4B0A7" w14:textId="3583F2CF" w:rsidR="0060301D" w:rsidRPr="00614DD8" w:rsidRDefault="00D9052A" w:rsidP="00D9052A">
            <w:pPr>
              <w:pStyle w:val="ListParagraph"/>
              <w:numPr>
                <w:ilvl w:val="2"/>
                <w:numId w:val="27"/>
              </w:numPr>
              <w:spacing w:after="120"/>
              <w:contextualSpacing w:val="0"/>
              <w:rPr>
                <w:lang w:val="en-US"/>
              </w:rPr>
            </w:pPr>
            <w:r>
              <w:t>FFS for suffix letter.</w:t>
            </w:r>
          </w:p>
        </w:tc>
      </w:tr>
    </w:tbl>
    <w:p w14:paraId="0A33C2EC" w14:textId="77777777" w:rsidR="00A520D9" w:rsidRPr="00614DD8" w:rsidRDefault="00A520D9" w:rsidP="005C23A4">
      <w:pPr>
        <w:rPr>
          <w:lang w:val="en-US"/>
        </w:rPr>
      </w:pPr>
    </w:p>
    <w:p w14:paraId="1835C287" w14:textId="77777777" w:rsidR="003B659E" w:rsidRPr="00614DD8" w:rsidRDefault="003B659E" w:rsidP="00AE56B1">
      <w:pPr>
        <w:pStyle w:val="RAN4H1"/>
        <w:rPr>
          <w:lang w:val="en-US"/>
        </w:rPr>
      </w:pPr>
      <w:bookmarkStart w:id="5" w:name="_Toc116995842"/>
      <w:r w:rsidRPr="00614DD8">
        <w:rPr>
          <w:lang w:val="en-US"/>
        </w:rPr>
        <w:t>Discussion</w:t>
      </w:r>
      <w:bookmarkEnd w:id="5"/>
    </w:p>
    <w:p w14:paraId="32900D71" w14:textId="7BBC5AA8" w:rsidR="00B72A0C" w:rsidRPr="004D1622" w:rsidRDefault="009B5DE1" w:rsidP="00B72A0C">
      <w:pPr>
        <w:pStyle w:val="RAN4H2"/>
        <w:rPr>
          <w:lang w:val="en-US"/>
        </w:rPr>
      </w:pPr>
      <w:r>
        <w:rPr>
          <w:lang w:val="en-US"/>
        </w:rPr>
        <w:t>HD-FDD REFSENS for 2RX</w:t>
      </w:r>
    </w:p>
    <w:p w14:paraId="0E25455F" w14:textId="6532282F" w:rsidR="009B5DE1" w:rsidRDefault="009B5DE1" w:rsidP="00B72A0C">
      <w:pPr>
        <w:spacing w:line="257" w:lineRule="auto"/>
      </w:pPr>
      <w:r>
        <w:t>During the last meeting, the amount by which the REFSENS for n254 and n256 should be tightened was not agreed. There are two potential numbers</w:t>
      </w:r>
      <w:r w:rsidR="00BA1E12">
        <w:t xml:space="preserve"> that were discussed</w:t>
      </w:r>
      <w:r>
        <w:t>,</w:t>
      </w:r>
    </w:p>
    <w:p w14:paraId="5E59EF52" w14:textId="3243469C" w:rsidR="009B5DE1" w:rsidRDefault="009B5DE1" w:rsidP="009B5DE1">
      <w:pPr>
        <w:pStyle w:val="ListParagraph"/>
        <w:numPr>
          <w:ilvl w:val="0"/>
          <w:numId w:val="31"/>
        </w:numPr>
        <w:spacing w:line="257" w:lineRule="auto"/>
      </w:pPr>
      <w:r>
        <w:t>0.5 dB,</w:t>
      </w:r>
    </w:p>
    <w:p w14:paraId="1030D622" w14:textId="25867500" w:rsidR="009B5DE1" w:rsidRDefault="009B5DE1" w:rsidP="009B5DE1">
      <w:pPr>
        <w:pStyle w:val="ListParagraph"/>
        <w:numPr>
          <w:ilvl w:val="0"/>
          <w:numId w:val="31"/>
        </w:numPr>
        <w:spacing w:line="257" w:lineRule="auto"/>
      </w:pPr>
      <w:r>
        <w:t xml:space="preserve">0.8 </w:t>
      </w:r>
      <w:proofErr w:type="spellStart"/>
      <w:r>
        <w:t>dB.</w:t>
      </w:r>
      <w:proofErr w:type="spellEnd"/>
    </w:p>
    <w:p w14:paraId="0BAA8AE7" w14:textId="3F4297AE" w:rsidR="00B72A0C" w:rsidRDefault="0010107E" w:rsidP="00B72A0C">
      <w:pPr>
        <w:rPr>
          <w:lang w:val="en-US"/>
        </w:rPr>
      </w:pPr>
      <w:r>
        <w:rPr>
          <w:lang w:val="en-US"/>
        </w:rPr>
        <w:t xml:space="preserve">The reasoning for 0.5dB goes back to almost 10 years old limited survey on insertion loss difference between a SAW RF filter vs SAW duplex filter. </w:t>
      </w:r>
      <w:r w:rsidR="00224EC1">
        <w:rPr>
          <w:lang w:val="en-US"/>
        </w:rPr>
        <w:t>As</w:t>
      </w:r>
      <w:r>
        <w:rPr>
          <w:lang w:val="en-US"/>
        </w:rPr>
        <w:t xml:space="preserve"> SAW RF filters have less insertion loss compared to </w:t>
      </w:r>
      <w:r w:rsidR="00224EC1">
        <w:rPr>
          <w:lang w:val="en-US"/>
        </w:rPr>
        <w:t xml:space="preserve">SAW </w:t>
      </w:r>
      <w:r>
        <w:rPr>
          <w:lang w:val="en-US"/>
        </w:rPr>
        <w:t xml:space="preserve">duplex filters and since HD-FDD implementations do not need duplex filters, REFSENS can be tightened by 0.5 </w:t>
      </w:r>
      <w:proofErr w:type="spellStart"/>
      <w:r>
        <w:rPr>
          <w:lang w:val="en-US"/>
        </w:rPr>
        <w:t>dB.</w:t>
      </w:r>
      <w:proofErr w:type="spellEnd"/>
      <w:r>
        <w:rPr>
          <w:lang w:val="en-US"/>
        </w:rPr>
        <w:t xml:space="preserve"> 0.8dB number comes from </w:t>
      </w:r>
      <w:r w:rsidR="00BB3872">
        <w:rPr>
          <w:lang w:val="en-US"/>
        </w:rPr>
        <w:lastRenderedPageBreak/>
        <w:t xml:space="preserve">more recent </w:t>
      </w:r>
      <w:r>
        <w:rPr>
          <w:lang w:val="en-US"/>
        </w:rPr>
        <w:t>discussions done under Release 17</w:t>
      </w:r>
      <w:r w:rsidR="00BB3872">
        <w:rPr>
          <w:lang w:val="en-US"/>
        </w:rPr>
        <w:t xml:space="preserve"> </w:t>
      </w:r>
      <w:proofErr w:type="spellStart"/>
      <w:r w:rsidR="00BB3872">
        <w:rPr>
          <w:lang w:val="en-US"/>
        </w:rPr>
        <w:t>RedCap</w:t>
      </w:r>
      <w:proofErr w:type="spellEnd"/>
      <w:r w:rsidR="00BB3872">
        <w:rPr>
          <w:lang w:val="en-US"/>
        </w:rPr>
        <w:t xml:space="preserve"> for HD-FDD case. Given that lot of improvement in device technology has happened over last 10 years, it is possible to leverage that improvement for improving the REFSENS.</w:t>
      </w:r>
    </w:p>
    <w:p w14:paraId="3C10B598" w14:textId="4EAD4F71" w:rsidR="00BB3872" w:rsidRDefault="00BB3872" w:rsidP="00B72A0C">
      <w:pPr>
        <w:rPr>
          <w:lang w:val="en-US"/>
        </w:rPr>
      </w:pPr>
      <w:r>
        <w:rPr>
          <w:lang w:val="en-US"/>
        </w:rPr>
        <w:t xml:space="preserve">Further, as n65 exactly overlaps n256 and 0.5 dB had been used in the TN spec for HD-FDD for n65, there is an argument to be made that REFSENS should not be tightened more than 0.5 </w:t>
      </w:r>
      <w:proofErr w:type="spellStart"/>
      <w:r>
        <w:rPr>
          <w:lang w:val="en-US"/>
        </w:rPr>
        <w:t>dB.</w:t>
      </w:r>
      <w:proofErr w:type="spellEnd"/>
    </w:p>
    <w:p w14:paraId="289F7E1D" w14:textId="4A9D5000" w:rsidR="00B72A0C" w:rsidRPr="00377FA4" w:rsidRDefault="00BB3872" w:rsidP="00B72A0C">
      <w:pPr>
        <w:pStyle w:val="RAN4observation0"/>
        <w:ind w:left="284" w:hanging="360"/>
      </w:pPr>
      <w:bookmarkStart w:id="6" w:name="_Toc173444889"/>
      <w:r>
        <w:rPr>
          <w:lang w:val="en-US"/>
        </w:rPr>
        <w:t>Reasoning for 0.5dB improvement goes back to almost 10 years old survey on insertion loss differences.</w:t>
      </w:r>
      <w:bookmarkEnd w:id="6"/>
    </w:p>
    <w:p w14:paraId="1FA11AB1" w14:textId="10BCA93A" w:rsidR="00B72A0C" w:rsidRDefault="00BB3872" w:rsidP="00B72A0C">
      <w:pPr>
        <w:pStyle w:val="RAN4observation0"/>
        <w:ind w:left="284" w:hanging="360"/>
      </w:pPr>
      <w:bookmarkStart w:id="7" w:name="_Toc173444890"/>
      <w:r>
        <w:t>n256 is same as n65 and 0.5dB had been used for HD-FDD case in n65</w:t>
      </w:r>
      <w:r w:rsidR="001519D8">
        <w:t>.</w:t>
      </w:r>
      <w:bookmarkEnd w:id="7"/>
    </w:p>
    <w:p w14:paraId="57995659" w14:textId="77777777" w:rsidR="00BB3872" w:rsidRDefault="00BB3872" w:rsidP="00B72A0C">
      <w:pPr>
        <w:pStyle w:val="RAN4proposal"/>
      </w:pPr>
      <w:bookmarkStart w:id="8" w:name="_Toc173444891"/>
      <w:bookmarkStart w:id="9" w:name="_Toc166509892"/>
      <w:r>
        <w:t>Agree to use 0.8 dB tightening for n254.</w:t>
      </w:r>
      <w:bookmarkEnd w:id="8"/>
    </w:p>
    <w:p w14:paraId="0FEE7847" w14:textId="563E77D1" w:rsidR="00B72A0C" w:rsidRPr="00C554B6" w:rsidRDefault="00B72A0C" w:rsidP="00355037">
      <w:pPr>
        <w:pStyle w:val="RAN4proposal"/>
      </w:pPr>
      <w:bookmarkStart w:id="10" w:name="_Toc173444892"/>
      <w:r>
        <w:t xml:space="preserve">Agree to use </w:t>
      </w:r>
      <w:r w:rsidR="00BB3872">
        <w:t>0.5 dB tightening for n256.</w:t>
      </w:r>
      <w:bookmarkEnd w:id="9"/>
      <w:bookmarkEnd w:id="10"/>
    </w:p>
    <w:p w14:paraId="6174807E" w14:textId="28E40C1C" w:rsidR="00CB22B2" w:rsidRPr="009C2CDB" w:rsidRDefault="00BB3872" w:rsidP="00496606">
      <w:pPr>
        <w:pStyle w:val="RAN4H2"/>
        <w:rPr>
          <w:lang w:val="en-US"/>
        </w:rPr>
      </w:pPr>
      <w:r>
        <w:rPr>
          <w:lang w:val="en-US"/>
        </w:rPr>
        <w:t>PC3 power level</w:t>
      </w:r>
    </w:p>
    <w:p w14:paraId="4D725E9A" w14:textId="024C7E21" w:rsidR="0089210C" w:rsidRDefault="00BB3872" w:rsidP="005C23A4">
      <w:pPr>
        <w:rPr>
          <w:lang w:val="en-US"/>
        </w:rPr>
      </w:pPr>
      <w:r>
        <w:rPr>
          <w:lang w:val="en-US"/>
        </w:rPr>
        <w:t xml:space="preserve">In RAN4#111, it was proposed to increase the nominal power level for </w:t>
      </w:r>
      <w:r>
        <w:t xml:space="preserve">PC3 for NTN </w:t>
      </w:r>
      <w:proofErr w:type="spellStart"/>
      <w:r>
        <w:t>RedCap</w:t>
      </w:r>
      <w:proofErr w:type="spellEnd"/>
      <w:r>
        <w:t xml:space="preserve"> UE which only supports HD-FDD operation from 23 dBm to 24 dBm. The reasoning for this was related to the challenging uplink link budget in the NTN case. In our opinion, although it is beneficial to have higher output power, doing so in the specification by changing the nominal value for PC3 is not a good way.</w:t>
      </w:r>
      <w:r w:rsidR="00AD59B4">
        <w:t xml:space="preserve"> A better way would be via introduction of a new power class</w:t>
      </w:r>
      <w:r w:rsidR="00AD59B4">
        <w:rPr>
          <w:lang w:val="en-US"/>
        </w:rPr>
        <w:t>, for which work should be defined in the WID. Another approach to improve the uplink link budget could be by reducing the MPR and defining a new MPR table for the NTN case.</w:t>
      </w:r>
    </w:p>
    <w:p w14:paraId="0CF71C22" w14:textId="77777777" w:rsidR="00AD59B4" w:rsidRDefault="00AD59B4" w:rsidP="00AD59B4">
      <w:pPr>
        <w:pStyle w:val="RAN4observation0"/>
        <w:ind w:left="284" w:hanging="360"/>
        <w:rPr>
          <w:lang w:val="en-US"/>
        </w:rPr>
      </w:pPr>
      <w:bookmarkStart w:id="11" w:name="_Toc173444893"/>
      <w:r>
        <w:rPr>
          <w:lang w:val="en-US"/>
        </w:rPr>
        <w:t>Changing PC3 level for HD-FDD in NTN context is not a good approach.</w:t>
      </w:r>
      <w:bookmarkEnd w:id="11"/>
      <w:r>
        <w:rPr>
          <w:lang w:val="en-US"/>
        </w:rPr>
        <w:t xml:space="preserve"> </w:t>
      </w:r>
    </w:p>
    <w:p w14:paraId="78340E15" w14:textId="0C81B267" w:rsidR="00AD59B4" w:rsidRDefault="00AD59B4" w:rsidP="66D3340D">
      <w:pPr>
        <w:pStyle w:val="RAN4observation0"/>
        <w:numPr>
          <w:ilvl w:val="0"/>
          <w:numId w:val="0"/>
        </w:numPr>
        <w:ind w:left="284" w:hanging="360"/>
        <w:rPr>
          <w:lang w:val="en-US"/>
        </w:rPr>
      </w:pPr>
      <w:bookmarkStart w:id="12" w:name="_Toc173444894"/>
      <w:r w:rsidRPr="66D3340D">
        <w:rPr>
          <w:lang w:val="en-US"/>
        </w:rPr>
        <w:t>Better approach would be via introduction of a new power class.</w:t>
      </w:r>
      <w:bookmarkEnd w:id="12"/>
      <w:r w:rsidRPr="66D3340D">
        <w:rPr>
          <w:lang w:val="en-US"/>
        </w:rPr>
        <w:t xml:space="preserve"> </w:t>
      </w:r>
    </w:p>
    <w:p w14:paraId="68F111E5" w14:textId="0A8E7C24" w:rsidR="00AD59B4" w:rsidRPr="00AD59B4" w:rsidRDefault="00AD59B4" w:rsidP="00AD59B4">
      <w:pPr>
        <w:pStyle w:val="RAN4observation0"/>
        <w:ind w:left="284" w:hanging="360"/>
        <w:rPr>
          <w:lang w:val="en-US"/>
        </w:rPr>
      </w:pPr>
      <w:bookmarkStart w:id="13" w:name="_Toc173444895"/>
      <w:r>
        <w:rPr>
          <w:lang w:val="en-US"/>
        </w:rPr>
        <w:t>Another approach to improve the uplink link budget would be via reduced MPR for HD-FDD in NTN case.</w:t>
      </w:r>
      <w:bookmarkEnd w:id="13"/>
    </w:p>
    <w:p w14:paraId="1A985C5C" w14:textId="7B262E46" w:rsidR="00E437D2" w:rsidRPr="00614DD8" w:rsidRDefault="00AD59B4" w:rsidP="00E55751">
      <w:pPr>
        <w:pStyle w:val="RAN4proposal"/>
        <w:rPr>
          <w:lang w:val="en-US"/>
        </w:rPr>
      </w:pPr>
      <w:bookmarkStart w:id="14" w:name="_Toc173444896"/>
      <w:r>
        <w:rPr>
          <w:lang w:val="en-US"/>
        </w:rPr>
        <w:t>PC3 power level should be the same in NTN and TN context.</w:t>
      </w:r>
      <w:bookmarkEnd w:id="14"/>
    </w:p>
    <w:p w14:paraId="31F7231A" w14:textId="77777777" w:rsidR="00CD7492" w:rsidRPr="00614DD8" w:rsidRDefault="00CD7492" w:rsidP="00A37002">
      <w:pPr>
        <w:pStyle w:val="RAN4H1"/>
        <w:rPr>
          <w:lang w:val="en-US"/>
        </w:rPr>
      </w:pPr>
      <w:bookmarkStart w:id="15" w:name="_Toc116995848"/>
      <w:r w:rsidRPr="00614DD8">
        <w:rPr>
          <w:lang w:val="en-US"/>
        </w:rPr>
        <w:t>Conclusion</w:t>
      </w:r>
      <w:bookmarkEnd w:id="15"/>
    </w:p>
    <w:p w14:paraId="511EEB04"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221A2AF9" w14:textId="108AB0EB" w:rsidR="00AD59B4"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3444889" w:history="1">
        <w:r w:rsidR="00AD59B4" w:rsidRPr="00F007EA">
          <w:rPr>
            <w:rStyle w:val="Hyperlink"/>
            <w:b/>
            <w:noProof/>
          </w:rPr>
          <w:t>Observation 1:</w:t>
        </w:r>
        <w:r w:rsidR="00AD59B4" w:rsidRPr="00F007EA">
          <w:rPr>
            <w:rStyle w:val="Hyperlink"/>
            <w:noProof/>
            <w:lang w:val="en-US"/>
          </w:rPr>
          <w:t xml:space="preserve"> Reasoning for 0.5dB improvement goes back to almost 10 years old survey on insertion loss differences.</w:t>
        </w:r>
      </w:hyperlink>
    </w:p>
    <w:p w14:paraId="60EF4A47" w14:textId="47AA1993" w:rsidR="00AD59B4" w:rsidRDefault="00377719">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3444890" w:history="1">
        <w:r w:rsidR="00AD59B4" w:rsidRPr="00F007EA">
          <w:rPr>
            <w:rStyle w:val="Hyperlink"/>
            <w:b/>
            <w:noProof/>
          </w:rPr>
          <w:t>Observation 2:</w:t>
        </w:r>
        <w:r w:rsidR="00AD59B4" w:rsidRPr="00F007EA">
          <w:rPr>
            <w:rStyle w:val="Hyperlink"/>
            <w:noProof/>
          </w:rPr>
          <w:t xml:space="preserve"> n256 is same as n65 and 0.5dB had been used for HD-FDD case in n65.</w:t>
        </w:r>
      </w:hyperlink>
    </w:p>
    <w:p w14:paraId="57016BFE" w14:textId="2521AF13" w:rsidR="00AD59B4" w:rsidRDefault="00377719">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3444891" w:history="1">
        <w:r w:rsidR="00AD59B4" w:rsidRPr="00F007EA">
          <w:rPr>
            <w:rStyle w:val="Hyperlink"/>
            <w:noProof/>
          </w:rPr>
          <w:t>Proposal 1: Agree to use 0.8 dB tightening for n254.</w:t>
        </w:r>
      </w:hyperlink>
    </w:p>
    <w:p w14:paraId="6C98E62F" w14:textId="597E6C3F" w:rsidR="00AD59B4" w:rsidRDefault="00377719">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3444892" w:history="1">
        <w:r w:rsidR="00AD59B4" w:rsidRPr="00F007EA">
          <w:rPr>
            <w:rStyle w:val="Hyperlink"/>
            <w:noProof/>
          </w:rPr>
          <w:t>Proposal 2: Agree to use 0.5 dB tightening for n256.</w:t>
        </w:r>
      </w:hyperlink>
    </w:p>
    <w:p w14:paraId="40C37D07" w14:textId="737AEE5B" w:rsidR="00AD59B4" w:rsidRDefault="00377719">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3444893" w:history="1">
        <w:r w:rsidR="00AD59B4" w:rsidRPr="00F007EA">
          <w:rPr>
            <w:rStyle w:val="Hyperlink"/>
            <w:b/>
            <w:noProof/>
            <w:lang w:val="en-US"/>
          </w:rPr>
          <w:t>Observation 3:</w:t>
        </w:r>
        <w:r w:rsidR="00AD59B4" w:rsidRPr="00F007EA">
          <w:rPr>
            <w:rStyle w:val="Hyperlink"/>
            <w:noProof/>
            <w:lang w:val="en-US"/>
          </w:rPr>
          <w:t xml:space="preserve"> Changing PC3 level for HD-FDD in NTN context is not a good approach.</w:t>
        </w:r>
      </w:hyperlink>
    </w:p>
    <w:p w14:paraId="26A05B5F" w14:textId="63A499F4" w:rsidR="00AD59B4" w:rsidRDefault="00377719">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3444894" w:history="1">
        <w:r w:rsidR="00AD59B4" w:rsidRPr="00F007EA">
          <w:rPr>
            <w:rStyle w:val="Hyperlink"/>
            <w:b/>
            <w:noProof/>
            <w:lang w:val="en-US"/>
          </w:rPr>
          <w:t>Observation 4:</w:t>
        </w:r>
        <w:r w:rsidR="00AD59B4" w:rsidRPr="00F007EA">
          <w:rPr>
            <w:rStyle w:val="Hyperlink"/>
            <w:noProof/>
            <w:lang w:val="en-US"/>
          </w:rPr>
          <w:t xml:space="preserve"> Better approach would be via introduction of a new power class.</w:t>
        </w:r>
      </w:hyperlink>
    </w:p>
    <w:p w14:paraId="70DE1F94" w14:textId="3AA97BBA" w:rsidR="00AD59B4" w:rsidRDefault="00377719">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3444895" w:history="1">
        <w:r w:rsidR="00AD59B4" w:rsidRPr="00F007EA">
          <w:rPr>
            <w:rStyle w:val="Hyperlink"/>
            <w:b/>
            <w:noProof/>
            <w:lang w:val="en-US"/>
          </w:rPr>
          <w:t>Observation 5:</w:t>
        </w:r>
        <w:r w:rsidR="00AD59B4" w:rsidRPr="00F007EA">
          <w:rPr>
            <w:rStyle w:val="Hyperlink"/>
            <w:noProof/>
            <w:lang w:val="en-US"/>
          </w:rPr>
          <w:t xml:space="preserve"> Another approach to improve the uplink link budget would be via reduced MPR for HD-FDD in NTN case.</w:t>
        </w:r>
      </w:hyperlink>
    </w:p>
    <w:p w14:paraId="146E6954" w14:textId="763BCCF6" w:rsidR="00AD59B4" w:rsidRDefault="00377719">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3444896" w:history="1">
        <w:r w:rsidR="00AD59B4" w:rsidRPr="00F007EA">
          <w:rPr>
            <w:rStyle w:val="Hyperlink"/>
            <w:noProof/>
            <w:lang w:val="en-US"/>
          </w:rPr>
          <w:t>Proposal 3: PC3 power level should be the same in NTN and TN context.</w:t>
        </w:r>
      </w:hyperlink>
    </w:p>
    <w:p w14:paraId="71BCE1E3" w14:textId="6ACB7908" w:rsidR="00847264" w:rsidRPr="00614DD8" w:rsidRDefault="00A4355E" w:rsidP="008C39F7">
      <w:pPr>
        <w:rPr>
          <w:lang w:val="en-US"/>
        </w:rPr>
      </w:pPr>
      <w:r w:rsidRPr="00614DD8">
        <w:rPr>
          <w:lang w:val="en-US"/>
        </w:rPr>
        <w:fldChar w:fldCharType="end"/>
      </w:r>
      <w:bookmarkStart w:id="16" w:name="_Toc116995849"/>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6"/>
    </w:p>
    <w:p w14:paraId="73EE0639" w14:textId="77777777" w:rsidR="00D9052A" w:rsidRDefault="00D9052A" w:rsidP="00D9052A">
      <w:pPr>
        <w:pStyle w:val="ListParagraph"/>
        <w:numPr>
          <w:ilvl w:val="0"/>
          <w:numId w:val="21"/>
        </w:numPr>
        <w:ind w:right="-22"/>
        <w:rPr>
          <w:lang w:val="en-US"/>
        </w:rPr>
      </w:pPr>
      <w:bookmarkStart w:id="17" w:name="_Ref114500673"/>
      <w:bookmarkStart w:id="18" w:name="_Ref165543298"/>
      <w:bookmarkEnd w:id="17"/>
      <w:r w:rsidRPr="00614DD8">
        <w:rPr>
          <w:lang w:val="en-US"/>
        </w:rPr>
        <w:t>R</w:t>
      </w:r>
      <w:r>
        <w:rPr>
          <w:lang w:val="en-US"/>
        </w:rPr>
        <w:t>P</w:t>
      </w:r>
      <w:r w:rsidRPr="00614DD8">
        <w:rPr>
          <w:lang w:val="en-US"/>
        </w:rPr>
        <w:t>-</w:t>
      </w:r>
      <w:r>
        <w:rPr>
          <w:lang w:val="en-US"/>
        </w:rPr>
        <w:t>240775</w:t>
      </w:r>
      <w:r w:rsidRPr="00614DD8">
        <w:rPr>
          <w:lang w:val="en-US"/>
        </w:rPr>
        <w:t xml:space="preserve">, </w:t>
      </w:r>
      <w:r>
        <w:rPr>
          <w:lang w:val="en-US"/>
        </w:rPr>
        <w:t>Revised WID: Non-Terrestrial Networks (NTN) for NR Phase 3</w:t>
      </w:r>
      <w:r w:rsidRPr="00614DD8">
        <w:rPr>
          <w:lang w:val="en-US"/>
        </w:rPr>
        <w:t>, RAN#10</w:t>
      </w:r>
      <w:r>
        <w:rPr>
          <w:lang w:val="en-US"/>
        </w:rPr>
        <w:t>3</w:t>
      </w:r>
      <w:r w:rsidRPr="00614DD8">
        <w:rPr>
          <w:lang w:val="en-US"/>
        </w:rPr>
        <w:t xml:space="preserve">, </w:t>
      </w:r>
      <w:r>
        <w:rPr>
          <w:lang w:val="en-US"/>
        </w:rPr>
        <w:t>Maastricht</w:t>
      </w:r>
      <w:r w:rsidRPr="00614DD8">
        <w:rPr>
          <w:lang w:val="en-US"/>
        </w:rPr>
        <w:t xml:space="preserve">, </w:t>
      </w:r>
      <w:r>
        <w:rPr>
          <w:lang w:val="en-US"/>
        </w:rPr>
        <w:t>Netherlands</w:t>
      </w:r>
      <w:r w:rsidRPr="00614DD8">
        <w:rPr>
          <w:lang w:val="en-US"/>
        </w:rPr>
        <w:t xml:space="preserve">, </w:t>
      </w:r>
      <w:r>
        <w:rPr>
          <w:lang w:val="en-US"/>
        </w:rPr>
        <w:t>18</w:t>
      </w:r>
      <w:r w:rsidRPr="00614DD8">
        <w:rPr>
          <w:lang w:val="en-US"/>
        </w:rPr>
        <w:t xml:space="preserve"> – 2</w:t>
      </w:r>
      <w:r>
        <w:rPr>
          <w:lang w:val="en-US"/>
        </w:rPr>
        <w:t>2</w:t>
      </w:r>
      <w:r w:rsidRPr="00614DD8">
        <w:rPr>
          <w:lang w:val="en-US"/>
        </w:rPr>
        <w:t xml:space="preserve"> </w:t>
      </w:r>
      <w:r>
        <w:rPr>
          <w:lang w:val="en-US"/>
        </w:rPr>
        <w:t>March</w:t>
      </w:r>
      <w:r w:rsidRPr="00614DD8">
        <w:rPr>
          <w:lang w:val="en-US"/>
        </w:rPr>
        <w:t xml:space="preserve"> 202</w:t>
      </w:r>
      <w:r>
        <w:rPr>
          <w:lang w:val="en-US"/>
        </w:rPr>
        <w:t>3</w:t>
      </w:r>
      <w:r w:rsidRPr="00614DD8">
        <w:rPr>
          <w:lang w:val="en-US"/>
        </w:rPr>
        <w:t>.</w:t>
      </w:r>
    </w:p>
    <w:p w14:paraId="0D71AE20" w14:textId="599561C5" w:rsidR="00D9052A" w:rsidRDefault="00D9052A" w:rsidP="00D9052A">
      <w:pPr>
        <w:pStyle w:val="ListParagraph"/>
        <w:numPr>
          <w:ilvl w:val="0"/>
          <w:numId w:val="21"/>
        </w:numPr>
        <w:spacing w:line="256" w:lineRule="auto"/>
        <w:ind w:right="-22"/>
        <w:rPr>
          <w:lang w:val="en-US"/>
        </w:rPr>
      </w:pPr>
      <w:bookmarkStart w:id="19" w:name="_Ref166227081"/>
      <w:r>
        <w:rPr>
          <w:lang w:val="en-US"/>
        </w:rPr>
        <w:t xml:space="preserve">R4-2410574, </w:t>
      </w:r>
      <w:r w:rsidRPr="00D9052A">
        <w:rPr>
          <w:lang w:val="en-US"/>
        </w:rPr>
        <w:t>WF on Rel-19 phase 3 NR-NTN UE RF requirements</w:t>
      </w:r>
      <w:r>
        <w:rPr>
          <w:lang w:val="en-US"/>
        </w:rPr>
        <w:t xml:space="preserve">, Qualcomm Inc, </w:t>
      </w:r>
      <w:r w:rsidRPr="00614DD8">
        <w:rPr>
          <w:lang w:val="en-US"/>
        </w:rPr>
        <w:t>RAN4#1</w:t>
      </w:r>
      <w:r>
        <w:rPr>
          <w:lang w:val="en-US"/>
        </w:rPr>
        <w:t>11</w:t>
      </w:r>
      <w:r w:rsidRPr="00614DD8">
        <w:rPr>
          <w:lang w:val="en-US"/>
        </w:rPr>
        <w:t xml:space="preserve">, </w:t>
      </w:r>
      <w:r>
        <w:rPr>
          <w:lang w:val="en-US"/>
        </w:rPr>
        <w:t>Fukuoka</w:t>
      </w:r>
      <w:r w:rsidRPr="00614DD8">
        <w:rPr>
          <w:lang w:val="en-US"/>
        </w:rPr>
        <w:t xml:space="preserve">, </w:t>
      </w:r>
      <w:r>
        <w:rPr>
          <w:lang w:val="en-US"/>
        </w:rPr>
        <w:t>Japan</w:t>
      </w:r>
      <w:r w:rsidRPr="00614DD8">
        <w:rPr>
          <w:lang w:val="en-US"/>
        </w:rPr>
        <w:t xml:space="preserve">, </w:t>
      </w:r>
      <w:r>
        <w:rPr>
          <w:lang w:val="en-US"/>
        </w:rPr>
        <w:t>20</w:t>
      </w:r>
      <w:r w:rsidRPr="00614DD8">
        <w:rPr>
          <w:lang w:val="en-US"/>
        </w:rPr>
        <w:t xml:space="preserve"> – </w:t>
      </w:r>
      <w:r>
        <w:rPr>
          <w:lang w:val="en-US"/>
        </w:rPr>
        <w:t>24</w:t>
      </w:r>
      <w:r w:rsidRPr="00614DD8">
        <w:rPr>
          <w:lang w:val="en-US"/>
        </w:rPr>
        <w:t xml:space="preserve"> </w:t>
      </w:r>
      <w:r>
        <w:rPr>
          <w:lang w:val="en-US"/>
        </w:rPr>
        <w:t>May</w:t>
      </w:r>
      <w:r w:rsidRPr="00614DD8">
        <w:rPr>
          <w:lang w:val="en-US"/>
        </w:rPr>
        <w:t xml:space="preserve"> 202</w:t>
      </w:r>
      <w:r>
        <w:rPr>
          <w:lang w:val="en-US"/>
        </w:rPr>
        <w:t>4.</w:t>
      </w:r>
      <w:bookmarkEnd w:id="19"/>
    </w:p>
    <w:bookmarkEnd w:id="18"/>
    <w:sectPr w:rsidR="00D9052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96FDB" w14:textId="77777777" w:rsidR="00DF76C5" w:rsidRDefault="00DF76C5" w:rsidP="00001C9B">
      <w:pPr>
        <w:spacing w:after="0" w:line="240" w:lineRule="auto"/>
      </w:pPr>
      <w:r>
        <w:separator/>
      </w:r>
    </w:p>
  </w:endnote>
  <w:endnote w:type="continuationSeparator" w:id="0">
    <w:p w14:paraId="7FD3C760" w14:textId="77777777" w:rsidR="00DF76C5" w:rsidRDefault="00DF76C5" w:rsidP="00001C9B">
      <w:pPr>
        <w:spacing w:after="0" w:line="240" w:lineRule="auto"/>
      </w:pPr>
      <w:r>
        <w:continuationSeparator/>
      </w:r>
    </w:p>
  </w:endnote>
  <w:endnote w:type="continuationNotice" w:id="1">
    <w:p w14:paraId="348B0B27" w14:textId="77777777" w:rsidR="00DF76C5" w:rsidRDefault="00DF76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4FA4D" w14:textId="77777777" w:rsidR="00DF76C5" w:rsidRDefault="00DF76C5" w:rsidP="00001C9B">
      <w:pPr>
        <w:spacing w:after="0" w:line="240" w:lineRule="auto"/>
      </w:pPr>
      <w:r>
        <w:separator/>
      </w:r>
    </w:p>
  </w:footnote>
  <w:footnote w:type="continuationSeparator" w:id="0">
    <w:p w14:paraId="51235608" w14:textId="77777777" w:rsidR="00DF76C5" w:rsidRDefault="00DF76C5" w:rsidP="00001C9B">
      <w:pPr>
        <w:spacing w:after="0" w:line="240" w:lineRule="auto"/>
      </w:pPr>
      <w:r>
        <w:continuationSeparator/>
      </w:r>
    </w:p>
  </w:footnote>
  <w:footnote w:type="continuationNotice" w:id="1">
    <w:p w14:paraId="78DE235A" w14:textId="77777777" w:rsidR="00DF76C5" w:rsidRDefault="00DF76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240AF2"/>
    <w:multiLevelType w:val="hybridMultilevel"/>
    <w:tmpl w:val="1180A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1"/>
  </w:num>
  <w:num w:numId="4" w16cid:durableId="517735681">
    <w:abstractNumId w:val="4"/>
  </w:num>
  <w:num w:numId="5" w16cid:durableId="1142041724">
    <w:abstractNumId w:val="16"/>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8"/>
  </w:num>
  <w:num w:numId="16" w16cid:durableId="516113510">
    <w:abstractNumId w:val="3"/>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841003140">
    <w:abstractNumId w:val="12"/>
  </w:num>
  <w:num w:numId="28" w16cid:durableId="411775096">
    <w:abstractNumId w:val="17"/>
  </w:num>
  <w:num w:numId="29" w16cid:durableId="1049035517">
    <w:abstractNumId w:val="6"/>
  </w:num>
  <w:num w:numId="30" w16cid:durableId="1508253574">
    <w:abstractNumId w:val="7"/>
  </w:num>
  <w:num w:numId="31" w16cid:durableId="106183238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40DC"/>
    <w:rsid w:val="00005926"/>
    <w:rsid w:val="00011784"/>
    <w:rsid w:val="000151EF"/>
    <w:rsid w:val="000239F5"/>
    <w:rsid w:val="00030D12"/>
    <w:rsid w:val="00054F7C"/>
    <w:rsid w:val="00072CCA"/>
    <w:rsid w:val="0008612A"/>
    <w:rsid w:val="00090E18"/>
    <w:rsid w:val="000A10BC"/>
    <w:rsid w:val="000A7F53"/>
    <w:rsid w:val="000B0056"/>
    <w:rsid w:val="000C3C7B"/>
    <w:rsid w:val="000D0F93"/>
    <w:rsid w:val="0010107E"/>
    <w:rsid w:val="00106416"/>
    <w:rsid w:val="00110481"/>
    <w:rsid w:val="001127C9"/>
    <w:rsid w:val="00114498"/>
    <w:rsid w:val="00115B88"/>
    <w:rsid w:val="00132F6A"/>
    <w:rsid w:val="00133913"/>
    <w:rsid w:val="00140221"/>
    <w:rsid w:val="001519D8"/>
    <w:rsid w:val="00156D5A"/>
    <w:rsid w:val="001642FC"/>
    <w:rsid w:val="0016496B"/>
    <w:rsid w:val="00165F95"/>
    <w:rsid w:val="001743E2"/>
    <w:rsid w:val="001745F8"/>
    <w:rsid w:val="001838CF"/>
    <w:rsid w:val="001868EE"/>
    <w:rsid w:val="00193A5A"/>
    <w:rsid w:val="001A3BA4"/>
    <w:rsid w:val="001A6D1F"/>
    <w:rsid w:val="001B1EA8"/>
    <w:rsid w:val="001E30F6"/>
    <w:rsid w:val="00217EE5"/>
    <w:rsid w:val="00224EC1"/>
    <w:rsid w:val="00235F5C"/>
    <w:rsid w:val="00246218"/>
    <w:rsid w:val="00257FA3"/>
    <w:rsid w:val="00277B56"/>
    <w:rsid w:val="00282A74"/>
    <w:rsid w:val="002849D4"/>
    <w:rsid w:val="002943ED"/>
    <w:rsid w:val="00296854"/>
    <w:rsid w:val="002A19F5"/>
    <w:rsid w:val="002B4922"/>
    <w:rsid w:val="002B69F3"/>
    <w:rsid w:val="002C22C3"/>
    <w:rsid w:val="002C2D19"/>
    <w:rsid w:val="002D10FA"/>
    <w:rsid w:val="002D4C55"/>
    <w:rsid w:val="002E6DED"/>
    <w:rsid w:val="00300956"/>
    <w:rsid w:val="00312251"/>
    <w:rsid w:val="00317187"/>
    <w:rsid w:val="0032499A"/>
    <w:rsid w:val="00333BC7"/>
    <w:rsid w:val="003341F7"/>
    <w:rsid w:val="00347FEC"/>
    <w:rsid w:val="003509DF"/>
    <w:rsid w:val="00356F45"/>
    <w:rsid w:val="00366B74"/>
    <w:rsid w:val="00377719"/>
    <w:rsid w:val="00381F95"/>
    <w:rsid w:val="003A710A"/>
    <w:rsid w:val="003B659E"/>
    <w:rsid w:val="003B6C59"/>
    <w:rsid w:val="003C275E"/>
    <w:rsid w:val="003C4CDE"/>
    <w:rsid w:val="003C4FDE"/>
    <w:rsid w:val="003E58DF"/>
    <w:rsid w:val="00404C4C"/>
    <w:rsid w:val="00412E2E"/>
    <w:rsid w:val="0041423F"/>
    <w:rsid w:val="00414F81"/>
    <w:rsid w:val="00416033"/>
    <w:rsid w:val="00436A0F"/>
    <w:rsid w:val="00437150"/>
    <w:rsid w:val="0043750A"/>
    <w:rsid w:val="004439ED"/>
    <w:rsid w:val="00447577"/>
    <w:rsid w:val="004732E9"/>
    <w:rsid w:val="004854BB"/>
    <w:rsid w:val="00494493"/>
    <w:rsid w:val="00496606"/>
    <w:rsid w:val="004A71D2"/>
    <w:rsid w:val="004B0DD6"/>
    <w:rsid w:val="004C2F76"/>
    <w:rsid w:val="004E1240"/>
    <w:rsid w:val="004E5E66"/>
    <w:rsid w:val="004E7ADB"/>
    <w:rsid w:val="00503B4D"/>
    <w:rsid w:val="00504EE9"/>
    <w:rsid w:val="00514E4F"/>
    <w:rsid w:val="00521576"/>
    <w:rsid w:val="005250E6"/>
    <w:rsid w:val="005262E4"/>
    <w:rsid w:val="00542337"/>
    <w:rsid w:val="00542D23"/>
    <w:rsid w:val="0054442C"/>
    <w:rsid w:val="00550285"/>
    <w:rsid w:val="00562492"/>
    <w:rsid w:val="00572A20"/>
    <w:rsid w:val="005836F8"/>
    <w:rsid w:val="005918FA"/>
    <w:rsid w:val="00592A86"/>
    <w:rsid w:val="005A7D1B"/>
    <w:rsid w:val="005B3029"/>
    <w:rsid w:val="005B4801"/>
    <w:rsid w:val="005B5717"/>
    <w:rsid w:val="005B6B5C"/>
    <w:rsid w:val="005C0184"/>
    <w:rsid w:val="005C23A4"/>
    <w:rsid w:val="005D1CDF"/>
    <w:rsid w:val="005D2BB7"/>
    <w:rsid w:val="005D6FFE"/>
    <w:rsid w:val="005E61A8"/>
    <w:rsid w:val="005F6419"/>
    <w:rsid w:val="0060301D"/>
    <w:rsid w:val="006033FE"/>
    <w:rsid w:val="0060543D"/>
    <w:rsid w:val="006104DD"/>
    <w:rsid w:val="006130B5"/>
    <w:rsid w:val="00614DD8"/>
    <w:rsid w:val="00617400"/>
    <w:rsid w:val="00632D29"/>
    <w:rsid w:val="00664950"/>
    <w:rsid w:val="00683220"/>
    <w:rsid w:val="00687FA0"/>
    <w:rsid w:val="006A3C11"/>
    <w:rsid w:val="006B29A0"/>
    <w:rsid w:val="006B7010"/>
    <w:rsid w:val="006C3095"/>
    <w:rsid w:val="006E1151"/>
    <w:rsid w:val="006E23CF"/>
    <w:rsid w:val="006E6311"/>
    <w:rsid w:val="007145FF"/>
    <w:rsid w:val="00715B2A"/>
    <w:rsid w:val="00715BE9"/>
    <w:rsid w:val="00721A8C"/>
    <w:rsid w:val="00722C07"/>
    <w:rsid w:val="00733B21"/>
    <w:rsid w:val="007450F1"/>
    <w:rsid w:val="00751515"/>
    <w:rsid w:val="00755D32"/>
    <w:rsid w:val="007626B7"/>
    <w:rsid w:val="0078212B"/>
    <w:rsid w:val="00784DF6"/>
    <w:rsid w:val="00785232"/>
    <w:rsid w:val="007A56FE"/>
    <w:rsid w:val="007B186C"/>
    <w:rsid w:val="007C1696"/>
    <w:rsid w:val="007C3ED0"/>
    <w:rsid w:val="007C48C4"/>
    <w:rsid w:val="007C5971"/>
    <w:rsid w:val="007E42DC"/>
    <w:rsid w:val="007F54B9"/>
    <w:rsid w:val="00806A76"/>
    <w:rsid w:val="00811C9D"/>
    <w:rsid w:val="00816C80"/>
    <w:rsid w:val="0081797B"/>
    <w:rsid w:val="00841BCD"/>
    <w:rsid w:val="00846760"/>
    <w:rsid w:val="00847264"/>
    <w:rsid w:val="00851A8E"/>
    <w:rsid w:val="0085365B"/>
    <w:rsid w:val="008826C1"/>
    <w:rsid w:val="00883DFD"/>
    <w:rsid w:val="0089210C"/>
    <w:rsid w:val="00893D2E"/>
    <w:rsid w:val="008A1BF7"/>
    <w:rsid w:val="008A5B0E"/>
    <w:rsid w:val="008B0961"/>
    <w:rsid w:val="008C39F7"/>
    <w:rsid w:val="008E20E9"/>
    <w:rsid w:val="0090091A"/>
    <w:rsid w:val="009042BD"/>
    <w:rsid w:val="00904FE4"/>
    <w:rsid w:val="00927740"/>
    <w:rsid w:val="00936159"/>
    <w:rsid w:val="00977E1D"/>
    <w:rsid w:val="009B0573"/>
    <w:rsid w:val="009B5DE1"/>
    <w:rsid w:val="009B7B4B"/>
    <w:rsid w:val="009B7C21"/>
    <w:rsid w:val="009C2CDB"/>
    <w:rsid w:val="009E4E6E"/>
    <w:rsid w:val="00A04992"/>
    <w:rsid w:val="00A04A4A"/>
    <w:rsid w:val="00A147AA"/>
    <w:rsid w:val="00A21D71"/>
    <w:rsid w:val="00A22B78"/>
    <w:rsid w:val="00A246F7"/>
    <w:rsid w:val="00A25AE5"/>
    <w:rsid w:val="00A26442"/>
    <w:rsid w:val="00A37002"/>
    <w:rsid w:val="00A4355E"/>
    <w:rsid w:val="00A520D9"/>
    <w:rsid w:val="00A64DA0"/>
    <w:rsid w:val="00A92BCD"/>
    <w:rsid w:val="00AA1B0E"/>
    <w:rsid w:val="00AA47B6"/>
    <w:rsid w:val="00AC163B"/>
    <w:rsid w:val="00AC5CA7"/>
    <w:rsid w:val="00AC6058"/>
    <w:rsid w:val="00AD59B4"/>
    <w:rsid w:val="00AE2BA5"/>
    <w:rsid w:val="00AE56B1"/>
    <w:rsid w:val="00AE6D09"/>
    <w:rsid w:val="00AF7A7C"/>
    <w:rsid w:val="00B02070"/>
    <w:rsid w:val="00B408B6"/>
    <w:rsid w:val="00B513DE"/>
    <w:rsid w:val="00B51F83"/>
    <w:rsid w:val="00B542DA"/>
    <w:rsid w:val="00B63614"/>
    <w:rsid w:val="00B72A0C"/>
    <w:rsid w:val="00B73862"/>
    <w:rsid w:val="00B73F43"/>
    <w:rsid w:val="00B75BBF"/>
    <w:rsid w:val="00B81CDC"/>
    <w:rsid w:val="00BA1E12"/>
    <w:rsid w:val="00BA308C"/>
    <w:rsid w:val="00BA6B66"/>
    <w:rsid w:val="00BA6E48"/>
    <w:rsid w:val="00BA71B3"/>
    <w:rsid w:val="00BB3872"/>
    <w:rsid w:val="00BB4EC9"/>
    <w:rsid w:val="00BE0AF6"/>
    <w:rsid w:val="00BE1F03"/>
    <w:rsid w:val="00BE58A7"/>
    <w:rsid w:val="00BF2218"/>
    <w:rsid w:val="00C0426B"/>
    <w:rsid w:val="00C045DF"/>
    <w:rsid w:val="00C22B6C"/>
    <w:rsid w:val="00C26D43"/>
    <w:rsid w:val="00C35173"/>
    <w:rsid w:val="00C46548"/>
    <w:rsid w:val="00C574D5"/>
    <w:rsid w:val="00C73F32"/>
    <w:rsid w:val="00C87462"/>
    <w:rsid w:val="00CA180C"/>
    <w:rsid w:val="00CA3C58"/>
    <w:rsid w:val="00CB22B2"/>
    <w:rsid w:val="00CC3EE2"/>
    <w:rsid w:val="00CD7492"/>
    <w:rsid w:val="00CE3A6B"/>
    <w:rsid w:val="00CF3DD4"/>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5728"/>
    <w:rsid w:val="00D9052A"/>
    <w:rsid w:val="00D95481"/>
    <w:rsid w:val="00D96083"/>
    <w:rsid w:val="00DC7A13"/>
    <w:rsid w:val="00DE7064"/>
    <w:rsid w:val="00DF2997"/>
    <w:rsid w:val="00DF76C5"/>
    <w:rsid w:val="00E10BC4"/>
    <w:rsid w:val="00E1415D"/>
    <w:rsid w:val="00E213BD"/>
    <w:rsid w:val="00E234C1"/>
    <w:rsid w:val="00E323E9"/>
    <w:rsid w:val="00E32FB6"/>
    <w:rsid w:val="00E34018"/>
    <w:rsid w:val="00E42AE1"/>
    <w:rsid w:val="00E437D2"/>
    <w:rsid w:val="00E43BF9"/>
    <w:rsid w:val="00E449D7"/>
    <w:rsid w:val="00E47BC6"/>
    <w:rsid w:val="00E51930"/>
    <w:rsid w:val="00E55751"/>
    <w:rsid w:val="00E62948"/>
    <w:rsid w:val="00E7398E"/>
    <w:rsid w:val="00E82B94"/>
    <w:rsid w:val="00EA2311"/>
    <w:rsid w:val="00EC7BC3"/>
    <w:rsid w:val="00ED073B"/>
    <w:rsid w:val="00ED7600"/>
    <w:rsid w:val="00EF6073"/>
    <w:rsid w:val="00EF698B"/>
    <w:rsid w:val="00F1362C"/>
    <w:rsid w:val="00F414F1"/>
    <w:rsid w:val="00F508B8"/>
    <w:rsid w:val="00F72CB1"/>
    <w:rsid w:val="00F8215E"/>
    <w:rsid w:val="00F824F5"/>
    <w:rsid w:val="00F90FAB"/>
    <w:rsid w:val="00F9374D"/>
    <w:rsid w:val="00FA3179"/>
    <w:rsid w:val="00FC29B9"/>
    <w:rsid w:val="00FC6FD3"/>
    <w:rsid w:val="00FE305C"/>
    <w:rsid w:val="00FF0301"/>
    <w:rsid w:val="00FF7E15"/>
    <w:rsid w:val="66D33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 w:hAnsi="@SimSu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4EC9"/>
    <w:rPr>
      <w:rFonts w:ascii="Times New Roman" w:hAnsi="Times New Roman"/>
      <w:sz w:val="20"/>
      <w:lang w:val="en-GB"/>
    </w:rPr>
  </w:style>
  <w:style w:type="paragraph" w:styleId="Footer">
    <w:name w:val="footer"/>
    <w:basedOn w:val="Normal"/>
    <w:link w:val="FooterChar"/>
    <w:uiPriority w:val="99"/>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891</Words>
  <Characters>5084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2024-08-09T14:05:00Z</dcterms:created>
  <dcterms:modified xsi:type="dcterms:W3CDTF">2024-08-09T14:05:00Z</dcterms:modified>
</cp:coreProperties>
</file>